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Pr>
          <w:b/>
          <w:sz w:val="24"/>
          <w:lang w:val="en-US"/>
        </w:rPr>
        <w:t>1</w:t>
      </w:r>
      <w:r>
        <w:rPr>
          <w:b/>
          <w:sz w:val="24"/>
        </w:rPr>
        <w:fldChar w:fldCharType="end"/>
      </w:r>
      <w:r>
        <w:rPr>
          <w:b/>
          <w:sz w:val="24"/>
          <w:lang w:val="en-US"/>
        </w:rPr>
        <w:t>0</w:t>
      </w:r>
      <w:r>
        <w:rPr>
          <w:b/>
          <w:i/>
          <w:sz w:val="28"/>
        </w:rPr>
        <w:tab/>
      </w:r>
      <w:r>
        <w:rPr>
          <w:b/>
          <w:iCs/>
          <w:sz w:val="24"/>
          <w:szCs w:val="18"/>
        </w:rPr>
        <w:t>R1-2206339</w:t>
      </w:r>
    </w:p>
    <w:p>
      <w:pPr>
        <w:pStyle w:val="117"/>
        <w:outlineLvl w:val="0"/>
        <w:rPr>
          <w:b/>
          <w:sz w:val="24"/>
          <w:szCs w:val="24"/>
        </w:rPr>
      </w:pPr>
      <w:r>
        <w:rPr>
          <w:rFonts w:hint="eastAsia" w:eastAsia="MS Mincho" w:cs="Arial"/>
          <w:b/>
          <w:bCs/>
          <w:sz w:val="24"/>
          <w:szCs w:val="24"/>
          <w:lang w:eastAsia="ja-JP"/>
        </w:rPr>
        <w:t>Toulouse, France, August 22</w:t>
      </w:r>
      <w:r>
        <w:rPr>
          <w:rFonts w:hint="eastAsia" w:eastAsia="MS Mincho" w:cs="Arial"/>
          <w:b/>
          <w:bCs/>
          <w:sz w:val="24"/>
          <w:szCs w:val="24"/>
          <w:vertAlign w:val="superscript"/>
          <w:lang w:eastAsia="ja-JP"/>
        </w:rPr>
        <w:t>nd</w:t>
      </w:r>
      <w:r>
        <w:rPr>
          <w:rFonts w:hint="eastAsia" w:eastAsia="MS Mincho" w:cs="Arial"/>
          <w:b/>
          <w:bCs/>
          <w:sz w:val="24"/>
          <w:szCs w:val="24"/>
          <w:lang w:eastAsia="ja-JP"/>
        </w:rPr>
        <w:t xml:space="preserve"> – 26</w:t>
      </w:r>
      <w:r>
        <w:rPr>
          <w:rFonts w:hint="eastAsia" w:eastAsia="MS Mincho" w:cs="Arial"/>
          <w:b/>
          <w:bCs/>
          <w:sz w:val="24"/>
          <w:szCs w:val="24"/>
          <w:vertAlign w:val="superscript"/>
          <w:lang w:eastAsia="ja-JP"/>
        </w:rPr>
        <w:t>th</w:t>
      </w:r>
      <w:r>
        <w:rPr>
          <w:rFonts w:hint="eastAsia" w:eastAsia="MS Mincho" w:cs="Arial"/>
          <w:b/>
          <w:bCs/>
          <w:sz w:val="24"/>
          <w:szCs w:val="24"/>
          <w:lang w:eastAsia="ja-JP"/>
        </w:rPr>
        <w:t>, 2022</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lang w:val="en-US"/>
              </w:rPr>
              <w:t>3</w:t>
            </w:r>
            <w:r>
              <w:rPr>
                <w:b/>
                <w:sz w:val="28"/>
              </w:rPr>
              <w:fldChar w:fldCharType="end"/>
            </w:r>
          </w:p>
        </w:tc>
        <w:tc>
          <w:tcPr>
            <w:tcW w:w="709" w:type="dxa"/>
          </w:tcPr>
          <w:p>
            <w:pPr>
              <w:pStyle w:val="117"/>
              <w:spacing w:after="0"/>
              <w:jc w:val="center"/>
            </w:pPr>
            <w:r>
              <w:rPr>
                <w:b/>
                <w:sz w:val="28"/>
              </w:rPr>
              <w:t>CR</w:t>
            </w:r>
          </w:p>
        </w:tc>
        <w:tc>
          <w:tcPr>
            <w:tcW w:w="1276" w:type="dxa"/>
            <w:shd w:val="pct30" w:color="FFFF00" w:fill="auto"/>
          </w:tcPr>
          <w:p>
            <w:pPr>
              <w:pStyle w:val="117"/>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b/>
                <w:sz w:val="28"/>
                <w:lang w:val="en-US" w:eastAsia="zh-CN"/>
              </w:rPr>
              <w:t>6</w:t>
            </w:r>
            <w:r>
              <w:rPr>
                <w:b/>
                <w:sz w:val="28"/>
              </w:rPr>
              <w:t>.</w:t>
            </w:r>
            <w:r>
              <w:rPr>
                <w:b/>
                <w:sz w:val="28"/>
                <w:lang w:val="en-US" w:eastAsia="zh-CN"/>
              </w:rPr>
              <w:t>10</w:t>
            </w:r>
            <w:r>
              <w:rPr>
                <w:b/>
                <w:sz w:val="28"/>
              </w:rPr>
              <w:t>.0</w:t>
            </w:r>
            <w:r>
              <w:rPr>
                <w:b/>
                <w:sz w:val="28"/>
              </w:rPr>
              <w:fldChar w:fldCharType="end"/>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eastAsia="Times New Roman"/>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rFonts w:eastAsia="Times New Roman"/>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7"/>
              <w:spacing w:after="0"/>
              <w:rPr>
                <w:sz w:val="8"/>
                <w:szCs w:val="8"/>
              </w:rPr>
            </w:pPr>
          </w:p>
        </w:tc>
      </w:tr>
      <w:tr>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rPr>
                <w:lang w:val="en-US" w:eastAsia="zh-CN"/>
              </w:rPr>
            </w:pPr>
            <w:r>
              <w:rPr>
                <w:rFonts w:hint="eastAsia"/>
                <w:lang w:val="en-US" w:eastAsia="zh-CN"/>
              </w:rPr>
              <w:t>Draft CR on HARQ-ACK multiplexing on PUSCH without PUCCH</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SourceIfTsg  \* MERGEFORMAT </w:instrText>
            </w:r>
            <w:r>
              <w:fldChar w:fldCharType="separate"/>
            </w:r>
            <w:r>
              <w:t>-</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fldChar w:fldCharType="begin"/>
            </w:r>
            <w:r>
              <w:instrText xml:space="preserve"> DOCPROPERTY  RelatedWis  \* MERGEFORMAT </w:instrText>
            </w:r>
            <w:r>
              <w:fldChar w:fldCharType="separate"/>
            </w:r>
            <w:r>
              <w:rPr>
                <w:rFonts w:hint="eastAsia"/>
              </w:rPr>
              <w:t>NR_newRAT-Core</w:t>
            </w:r>
            <w:r>
              <w:fldChar w:fldCharType="end"/>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ResDate  \* MERGEFORMAT </w:instrText>
            </w:r>
            <w:r>
              <w:fldChar w:fldCharType="separate"/>
            </w:r>
            <w:r>
              <w:t>202</w:t>
            </w:r>
            <w:r>
              <w:rPr>
                <w:lang w:val="en-US"/>
              </w:rPr>
              <w:t>2</w:t>
            </w:r>
            <w:r>
              <w:t>-</w:t>
            </w:r>
            <w:r>
              <w:rPr>
                <w:lang w:val="en-US" w:eastAsia="zh-CN"/>
              </w:rPr>
              <w:t>08</w:t>
            </w:r>
            <w:r>
              <w:t>-</w:t>
            </w:r>
            <w:r>
              <w:rPr>
                <w:lang w:val="en-US"/>
              </w:rPr>
              <w:t>22</w:t>
            </w:r>
            <w:r>
              <w:fldChar w:fldCharType="end"/>
            </w:r>
          </w:p>
        </w:tc>
      </w:tr>
      <w:tr>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rPr>
                <w:lang w:val="en-US"/>
              </w:rPr>
            </w:pPr>
            <w:r>
              <w:fldChar w:fldCharType="begin"/>
            </w:r>
            <w:r>
              <w:instrText xml:space="preserve"> DOCPROPERTY  Release  \* MERGEFORMAT </w:instrText>
            </w:r>
            <w:r>
              <w:fldChar w:fldCharType="separate"/>
            </w:r>
            <w:r>
              <w:t>Rel-1</w:t>
            </w:r>
            <w:r>
              <w:fldChar w:fldCharType="end"/>
            </w:r>
            <w:r>
              <w:rPr>
                <w:lang w:val="en-US"/>
              </w:rPr>
              <w:t>6</w:t>
            </w:r>
          </w:p>
        </w:tc>
      </w:tr>
      <w:tr>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rPr>
          <w:trHeight w:val="1387" w:hRule="atLeast"/>
        </w:trPr>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7"/>
              <w:spacing w:after="0"/>
              <w:ind w:left="100"/>
              <w:rPr>
                <w:rFonts w:eastAsia="Times New Roman"/>
                <w:lang w:val="en-US"/>
              </w:rPr>
            </w:pPr>
            <w:r>
              <w:rPr>
                <w:color w:val="000000"/>
                <w:lang w:val="en-US" w:eastAsia="zh-CN"/>
              </w:rPr>
              <w:t xml:space="preserve">When the UE does not determine any </w:t>
            </w:r>
            <w:r>
              <w:rPr>
                <w:rFonts w:eastAsia="MS Mincho"/>
                <w:lang w:val="en-US"/>
              </w:rPr>
              <w:t xml:space="preserve">PUCCH carrying HARQ-ACK information in a slot and the UE would transmit PUSCH(s) in the slot, where the PUSCH(s) is scheduled by </w:t>
            </w:r>
            <w:r>
              <w:rPr>
                <w:rFonts w:eastAsia="Times New Roman"/>
                <w:lang w:val="en-US"/>
              </w:rPr>
              <w:t xml:space="preserve">a DCI format that includes a DAI field, the UE selects the </w:t>
            </w:r>
            <w:r>
              <w:rPr>
                <w:rFonts w:eastAsia="MS Mincho"/>
                <w:lang w:val="en-US"/>
              </w:rPr>
              <w:t>PUSCH(s)</w:t>
            </w:r>
            <w:r>
              <w:rPr>
                <w:rFonts w:eastAsia="Times New Roman"/>
                <w:lang w:val="en-US"/>
              </w:rPr>
              <w:t xml:space="preserve"> that is scheduled by a DCI format that includes a DAI field equal to 1 as candidate PUSCH for HARQ-ACK multiplexing for Type-1 HARQ-ACK codebook. </w:t>
            </w:r>
          </w:p>
          <w:p>
            <w:pPr>
              <w:pStyle w:val="117"/>
              <w:spacing w:after="0"/>
              <w:ind w:left="100"/>
              <w:rPr>
                <w:rFonts w:eastAsia="Times New Roman"/>
                <w:lang w:val="en-US"/>
              </w:rPr>
            </w:pPr>
          </w:p>
          <w:p>
            <w:pPr>
              <w:pStyle w:val="117"/>
              <w:spacing w:after="0"/>
              <w:ind w:left="100"/>
              <w:rPr>
                <w:rFonts w:eastAsia="Times New Roman"/>
                <w:lang w:val="en-US"/>
              </w:rPr>
            </w:pPr>
            <w:r>
              <w:rPr>
                <w:rFonts w:eastAsia="Times New Roman"/>
                <w:lang w:val="en-US"/>
              </w:rPr>
              <w:t xml:space="preserve">However, for Type-1 HARQ-ACK codebook, the UE should first determine the PUCCH slot. Then the PDSCH slots can be determined for HARQ-ACK codebook construction. Thus, if the selected candidate PUSCH overlaps with more than one PUCCH slots in CA operation, the UE may not be able to determine the PUCCH slot. </w:t>
            </w:r>
          </w:p>
          <w:p>
            <w:pPr>
              <w:pStyle w:val="117"/>
              <w:spacing w:after="0"/>
              <w:ind w:left="100"/>
              <w:rPr>
                <w:rFonts w:eastAsia="Times New Roman"/>
                <w:lang w:val="en-US"/>
              </w:rPr>
            </w:pPr>
          </w:p>
          <w:p>
            <w:pPr>
              <w:pStyle w:val="117"/>
              <w:spacing w:after="0"/>
              <w:ind w:left="100"/>
              <w:rPr>
                <w:rFonts w:eastAsia="Times New Roman"/>
                <w:lang w:val="en-US"/>
              </w:rPr>
            </w:pPr>
            <w:r>
              <w:rPr>
                <w:rFonts w:eastAsia="Times New Roman"/>
                <w:lang w:val="en-US"/>
              </w:rPr>
              <w:t xml:space="preserve">An example is shown blow. The PUSCH in Cell 1 overlaps with both slot 6 and slot 7. The UE cannot determine which slot is PUCCH slot if it does not determine the PUCCH resource. </w:t>
            </w:r>
          </w:p>
          <w:p>
            <w:pPr>
              <w:pStyle w:val="117"/>
              <w:spacing w:after="0"/>
              <w:ind w:left="100"/>
              <w:rPr>
                <w:rFonts w:eastAsia="Times New Roman"/>
                <w:lang w:val="en-US" w:eastAsia="zh-CN"/>
              </w:rPr>
            </w:pPr>
            <w:r>
              <w:object>
                <v:shape id="_x0000_i1026" o:spt="75" alt="" type="#_x0000_t75" style="height:141.9pt;width:311.85pt;" o:ole="t" filled="f" o:preferrelative="t" stroked="f" coordsize="21600,21600">
                  <v:path/>
                  <v:fill on="f" focussize="0,0"/>
                  <v:stroke on="f"/>
                  <v:imagedata r:id="rId10" o:title=""/>
                  <o:lock v:ext="edit" aspectratio="t"/>
                  <w10:wrap type="none"/>
                  <w10:anchorlock/>
                </v:shape>
                <o:OLEObject Type="Embed" ProgID="Visio.Drawing.11" ShapeID="_x0000_i1026" DrawAspect="Content" ObjectID="_1468075725" r:id="rId9">
                  <o:LockedField>false</o:LockedField>
                </o:OLEObject>
              </w:object>
            </w:r>
          </w:p>
          <w:p>
            <w:pPr>
              <w:pStyle w:val="117"/>
              <w:spacing w:after="0"/>
              <w:ind w:left="100"/>
              <w:jc w:val="both"/>
              <w:rPr>
                <w:color w:val="000000"/>
                <w:lang w:val="en-US" w:eastAsia="zh-CN"/>
              </w:rPr>
            </w:pPr>
            <w:r>
              <w:rPr>
                <w:color w:val="000000"/>
                <w:lang w:val="en-US" w:eastAsia="zh-CN"/>
              </w:rPr>
              <w:t>In TDD operation, the number of PDSCH slots for slot 6 and slot 7 may be different due to the slot format configuration. It means that the corresponding HARQ-ACK codebook size may be different. Therefore, the UE cannot determine the HARQ-ACK codebook size in this case. To resolve this, the UE can select the first slot of the multiple slots overlapping with the candidate PUSCH as the PUCCH slot for Type-1 HARQ-ACK codebook construction.</w:t>
            </w:r>
          </w:p>
          <w:p>
            <w:pPr>
              <w:pStyle w:val="117"/>
              <w:spacing w:after="0"/>
              <w:ind w:left="100"/>
              <w:rPr>
                <w:color w:val="000000"/>
                <w:lang w:val="en-US" w:eastAsia="zh-CN"/>
              </w:rPr>
            </w:pPr>
          </w:p>
        </w:tc>
      </w:tr>
      <w:tr>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trHeight w:val="376" w:hRule="atLeast"/>
        </w:trPr>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ind w:left="100"/>
              <w:rPr>
                <w:lang w:val="en-US"/>
              </w:rPr>
            </w:pPr>
            <w:r>
              <w:rPr>
                <w:lang w:val="en-US" w:eastAsia="zh-CN"/>
              </w:rPr>
              <w:t>The UE uses the first slot that overlaps with the candidate PUSCH for Type-1 HARQ-ACK codebook construction when the UE does not determine any PUCCH resource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ind w:left="100"/>
              <w:rPr>
                <w:lang w:val="en-US" w:eastAsia="zh-CN"/>
              </w:rPr>
            </w:pPr>
            <w:r>
              <w:rPr>
                <w:lang w:val="en-US" w:eastAsia="zh-CN"/>
              </w:rPr>
              <w:t>The UE cannot determine PUCCH slot or construct the Type-1 HARQ-ACK codebook in case more than one PUCCH slots overlap with the candidate PUSCH</w:t>
            </w: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rPr>
                <w:lang w:val="en-US" w:eastAsia="zh-CN"/>
              </w:rPr>
            </w:pPr>
            <w:r>
              <w:rPr>
                <w:lang w:val="en-US" w:eastAsia="zh-CN"/>
              </w:rPr>
              <w:t>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rPr>
                <w:b/>
              </w:rPr>
            </w:pPr>
            <w:r>
              <w:rPr>
                <w:b/>
              </w:rPr>
              <w:t>Isolated impact analysis:</w:t>
            </w:r>
          </w:p>
          <w:p>
            <w:pPr>
              <w:pStyle w:val="117"/>
              <w:spacing w:after="0"/>
              <w:ind w:left="100"/>
            </w:pPr>
          </w:p>
          <w:p>
            <w:pPr>
              <w:pStyle w:val="117"/>
              <w:spacing w:after="0"/>
              <w:ind w:left="100"/>
              <w:rPr>
                <w:lang w:val="en-US" w:eastAsia="zh-CN"/>
              </w:rPr>
            </w:pPr>
            <w:r>
              <w:rPr>
                <w:rFonts w:hint="eastAsia"/>
                <w:lang w:val="en-US" w:eastAsia="zh-CN"/>
              </w:rPr>
              <w:t>T</w:t>
            </w:r>
            <w:r>
              <w:rPr>
                <w:lang w:val="en-US" w:eastAsia="zh-CN"/>
              </w:rPr>
              <w:t xml:space="preserve">his CR is based on RAN1’s common understanding. </w:t>
            </w:r>
          </w:p>
        </w:tc>
      </w:tr>
      <w:tr>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r>
              <w:t>This is the first version for this CR.</w:t>
            </w:r>
          </w:p>
        </w:tc>
      </w:tr>
    </w:tbl>
    <w:p>
      <w:pPr>
        <w:pStyle w:val="111"/>
        <w:ind w:left="0" w:firstLine="0"/>
        <w:sectPr>
          <w:headerReference r:id="rId4" w:type="even"/>
          <w:footnotePr>
            <w:numRestart w:val="eachSect"/>
          </w:footnotePr>
          <w:pgSz w:w="11907" w:h="16840"/>
          <w:pgMar w:top="1418" w:right="1134" w:bottom="1134" w:left="1134" w:header="680" w:footer="567" w:gutter="0"/>
          <w:cols w:space="720" w:num="1"/>
        </w:sectPr>
      </w:pPr>
    </w:p>
    <w:p>
      <w:pPr>
        <w:pStyle w:val="2"/>
        <w:tabs>
          <w:tab w:val="left" w:pos="1134"/>
        </w:tabs>
      </w:pPr>
      <w:r>
        <w:t xml:space="preserve"> </w:t>
      </w:r>
      <w:bookmarkStart w:id="2" w:name="_Toc105765305"/>
      <w:bookmarkStart w:id="3" w:name="_Toc29899135"/>
      <w:bookmarkStart w:id="4" w:name="_Toc45699190"/>
      <w:bookmarkStart w:id="5" w:name="_Toc26719403"/>
      <w:bookmarkStart w:id="6" w:name="_Toc12021466"/>
      <w:bookmarkStart w:id="7" w:name="_Toc36498164"/>
      <w:bookmarkStart w:id="8" w:name="_Toc29899553"/>
      <w:bookmarkStart w:id="9" w:name="_Toc29917290"/>
      <w:bookmarkStart w:id="10" w:name="_Toc20311578"/>
      <w:bookmarkStart w:id="11" w:name="_Toc29894836"/>
      <w:r>
        <w:t>9</w:t>
      </w:r>
      <w:r>
        <w:rPr>
          <w:rFonts w:hint="eastAsia"/>
        </w:rPr>
        <w:tab/>
      </w:r>
      <w:r>
        <w:rPr>
          <w:rFonts w:cs="Arial"/>
          <w:szCs w:val="36"/>
        </w:rPr>
        <w:t>UE procedure for reporting control information</w:t>
      </w:r>
      <w:bookmarkEnd w:id="2"/>
      <w:bookmarkEnd w:id="3"/>
      <w:bookmarkEnd w:id="4"/>
      <w:bookmarkEnd w:id="5"/>
      <w:bookmarkEnd w:id="6"/>
      <w:bookmarkEnd w:id="7"/>
      <w:bookmarkEnd w:id="8"/>
      <w:bookmarkEnd w:id="9"/>
      <w:bookmarkEnd w:id="10"/>
      <w:bookmarkEnd w:id="11"/>
    </w:p>
    <w:p>
      <w:pPr>
        <w:spacing w:before="120" w:line="280" w:lineRule="atLeast"/>
      </w:pPr>
      <w:r>
        <w:rPr>
          <w:b/>
          <w:iCs/>
          <w:color w:val="FF0000"/>
          <w:sz w:val="28"/>
        </w:rPr>
        <w:t>&lt;Unchanged parts are omitted&gt;</w:t>
      </w:r>
    </w:p>
    <w:p>
      <w:pPr>
        <w:rPr>
          <w:rFonts w:eastAsia="Times New Roman"/>
          <w:lang w:val="en-US"/>
        </w:rPr>
      </w:pPr>
      <w:r>
        <w:rPr>
          <w:rFonts w:eastAsia="MS Mincho"/>
          <w:lang w:val="en-US"/>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Pr>
          <w:rFonts w:eastAsia="Times New Roman"/>
          <w:lang w:val="en-US"/>
        </w:rPr>
        <w:t xml:space="preserve"> if the UE indicates the corresponding capability </w:t>
      </w:r>
      <w:r>
        <w:rPr>
          <w:rFonts w:eastAsia="Times New Roman"/>
          <w:i/>
          <w:iCs/>
          <w:lang w:val="en-US"/>
        </w:rPr>
        <w:t>Multiplexing-HARQ-ACK-without-PUCCH-on-PUSCH</w:t>
      </w:r>
      <w:r>
        <w:rPr>
          <w:rFonts w:eastAsia="Times New Roman"/>
          <w:lang w:val="en-US"/>
        </w:rPr>
        <w:t xml:space="preserve"> and the UE transmits multiple PUSCHs on respective serving cells in a slot with reference to slots for PUCCH transmissions and the UE does not determine any PUCCH carrying HARQ-ACK information 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Pr>
          <w:rFonts w:eastAsia="MS Mincho"/>
          <w:lang w:val="en-US"/>
        </w:rPr>
        <w:t xml:space="preserve">that is equal to 4 in case the UE is configured with </w:t>
      </w:r>
      <w:r>
        <w:rPr>
          <w:rFonts w:eastAsia="MS Mincho"/>
          <w:i/>
          <w:iCs/>
          <w:lang w:val="en-US"/>
        </w:rPr>
        <w:t>pdsch-HARQ-ACK-Codebook = dynamic</w:t>
      </w:r>
      <w:r>
        <w:rPr>
          <w:rFonts w:eastAsia="MS Mincho"/>
          <w:lang w:val="en-US"/>
        </w:rPr>
        <w:t xml:space="preserve"> or with </w:t>
      </w:r>
      <w:r>
        <w:rPr>
          <w:rFonts w:eastAsia="MS Mincho"/>
          <w:i/>
          <w:iCs/>
          <w:lang w:val="en-US"/>
        </w:rPr>
        <w:t>pdsch-HARQ-ACK-Codebook-r16</w:t>
      </w:r>
      <w:r>
        <w:rPr>
          <w:rFonts w:eastAsia="MS Mincho"/>
          <w:lang w:val="en-US"/>
        </w:rPr>
        <w:t xml:space="preserve">, or is equal to 0 in case the UE is configured with </w:t>
      </w:r>
      <w:r>
        <w:rPr>
          <w:rFonts w:eastAsia="MS Mincho"/>
          <w:i/>
          <w:iCs/>
          <w:lang w:val="en-US"/>
        </w:rPr>
        <w:t>pdsch-HARQ-ACK-Codebook = semi-static</w:t>
      </w:r>
      <w:r>
        <w:rPr>
          <w:rFonts w:eastAsia="Times New Roman"/>
          <w:lang w:val="en-US"/>
        </w:rPr>
        <w:t xml:space="preserve">. </w:t>
      </w:r>
      <w:r>
        <w:rPr>
          <w:rFonts w:hAnsi="Cambria Math"/>
          <w:color w:val="FF0000"/>
          <w:u w:val="single"/>
          <w:lang w:val="en-US"/>
        </w:rPr>
        <w:t xml:space="preserve">If there are more than one slots for PUCCH transmissions overlapping with the candidate PUSCH, the </w:t>
      </w:r>
      <w:bookmarkStart w:id="12" w:name="_GoBack"/>
      <w:bookmarkEnd w:id="12"/>
      <w:r>
        <w:rPr>
          <w:rFonts w:hAnsi="Cambria Math"/>
          <w:color w:val="FF0000"/>
          <w:u w:val="single"/>
          <w:lang w:val="en-US"/>
        </w:rPr>
        <w:t>first slot is used for Type-1 HARQ-ACK codebook construction.</w:t>
      </w:r>
    </w:p>
    <w:p>
      <w:pPr>
        <w:rPr>
          <w:rFonts w:eastAsia="Times New Roman"/>
          <w:lang w:val="en-US"/>
        </w:rPr>
      </w:pPr>
      <w:r>
        <w:rPr>
          <w:rFonts w:eastAsia="Times New Roman"/>
          <w:lang w:val="en-US"/>
        </w:rPr>
        <w:t>The UE determines the PUSCH for UCI multiplexing by applying the following procedure on the candidate PUSCHs as described in this clause:</w:t>
      </w:r>
    </w:p>
    <w:p>
      <w:pPr>
        <w:pStyle w:val="111"/>
      </w:pPr>
      <w:r>
        <w:t>-</w:t>
      </w:r>
      <w:r>
        <w:tab/>
      </w:r>
      <w:r>
        <w:t xml:space="preserve">If the candidate PUSCHs include first PUSCHs that are scheduled by DCI formats and second PUSCHs configured by respective </w:t>
      </w:r>
      <w:r>
        <w:rPr>
          <w:i/>
          <w:iCs/>
        </w:rPr>
        <w:t>ConfiguredGrantConfig</w:t>
      </w:r>
      <w:r>
        <w:rPr>
          <w:iCs/>
        </w:rPr>
        <w:t xml:space="preserve"> </w:t>
      </w:r>
      <w:r>
        <w:t>or</w:t>
      </w:r>
      <w:r>
        <w:rPr>
          <w:i/>
          <w:iCs/>
        </w:rPr>
        <w:t xml:space="preserve"> semiPersistentOnPUSCH</w:t>
      </w:r>
      <w:r>
        <w:t>, and the UE would multiplex UCI</w:t>
      </w:r>
      <w:r>
        <w:rPr>
          <w:rFonts w:hint="eastAsia"/>
        </w:rPr>
        <w:t xml:space="preserve"> </w:t>
      </w:r>
      <w:r>
        <w:t xml:space="preserve">in one of the candidate </w:t>
      </w:r>
      <w:r>
        <w:rPr>
          <w:rFonts w:hint="eastAsia"/>
        </w:rPr>
        <w:t>PUSCH</w:t>
      </w:r>
      <w:r>
        <w:t xml:space="preserve">s, and the candidate PUSCHs fulfil the conditions in clause 9.2.5 for UCI multiplexing, the UE multiplexes the UCI in a PUSCH from the first PUSCHs. </w:t>
      </w:r>
    </w:p>
    <w:p>
      <w:pPr>
        <w:pStyle w:val="111"/>
      </w:pPr>
      <w:r>
        <w:t>-</w:t>
      </w:r>
      <w:r>
        <w:tab/>
      </w:r>
      <w:r>
        <w:t>If the UE would multiplex UCI</w:t>
      </w:r>
      <w:r>
        <w:rPr>
          <w:rFonts w:hint="eastAsia"/>
        </w:rPr>
        <w:t xml:space="preserve"> </w:t>
      </w:r>
      <w:r>
        <w:t xml:space="preserve">in one of the candidate </w:t>
      </w:r>
      <w:r>
        <w:rPr>
          <w:rFonts w:hint="eastAsia"/>
        </w:rPr>
        <w:t>PUSCH</w:t>
      </w:r>
      <w:r>
        <w:t xml:space="preserve">s and the UE does not multiplex aperiodic CSI in any of the candidate PUSCHs, the UE multiplexes the UCI in a PUSCH of the serving cell with the smallest </w:t>
      </w:r>
      <w:r>
        <w:rPr>
          <w:i/>
        </w:rPr>
        <w:t xml:space="preserve">ServCellIndex </w:t>
      </w:r>
      <w:r>
        <w:t>subject to the conditions in clause 9.2.5 for UCI multiplexing being fulfilled</w:t>
      </w:r>
      <w:r>
        <w:rPr>
          <w:rFonts w:hint="eastAsia"/>
          <w:lang w:val="en-AU"/>
        </w:rPr>
        <w:t>.</w:t>
      </w:r>
      <w:r>
        <w:rPr>
          <w:lang w:val="en-AU"/>
        </w:rPr>
        <w:t xml:space="preserve"> If the UE transmits more than one PUSCHs in the slot on the </w:t>
      </w:r>
      <w:r>
        <w:t xml:space="preserve">serving cell with the smallest </w:t>
      </w:r>
      <w:r>
        <w:rPr>
          <w:i/>
        </w:rPr>
        <w:t>ServCellIndex</w:t>
      </w:r>
      <w:r>
        <w:t xml:space="preserve"> that fulfil the conditions in clause 9.2.5 for UCI multiplexing, the UE multiplexes the UCI in the earliest PUSCH that the UE transmits in the slot</w:t>
      </w:r>
      <w:r>
        <w:rPr>
          <w:rFonts w:hint="eastAsia"/>
          <w:lang w:val="en-AU"/>
        </w:rPr>
        <w:t>.</w:t>
      </w:r>
      <w:r>
        <w:rPr>
          <w:lang w:val="en-AU"/>
        </w:rPr>
        <w:t xml:space="preserve"> </w:t>
      </w:r>
    </w:p>
    <w:p>
      <w:pPr>
        <w:spacing w:before="120" w:line="280" w:lineRule="atLeast"/>
        <w:rPr>
          <w:lang w:val="en-US" w:eastAsia="zh-CN"/>
        </w:rPr>
      </w:pPr>
      <w:r>
        <w:rPr>
          <w:b/>
          <w:iCs/>
          <w:color w:val="FF0000"/>
          <w:sz w:val="28"/>
        </w:rPr>
        <w:t>&lt;Unchanged parts are omitted&gt;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2AAE"/>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2F10FF"/>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C3353"/>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F5FC1"/>
    <w:rsid w:val="009F734F"/>
    <w:rsid w:val="00A246B6"/>
    <w:rsid w:val="00A30DB1"/>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2481"/>
    <w:rsid w:val="00BC5707"/>
    <w:rsid w:val="00BD279D"/>
    <w:rsid w:val="00BD6BB8"/>
    <w:rsid w:val="00C02EA8"/>
    <w:rsid w:val="00C06D51"/>
    <w:rsid w:val="00C13FB5"/>
    <w:rsid w:val="00C1579F"/>
    <w:rsid w:val="00C26ECD"/>
    <w:rsid w:val="00C323CA"/>
    <w:rsid w:val="00C43118"/>
    <w:rsid w:val="00C60F0A"/>
    <w:rsid w:val="00C61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D5C6B"/>
    <w:rsid w:val="00EE57A8"/>
    <w:rsid w:val="00EE7D7C"/>
    <w:rsid w:val="00F01969"/>
    <w:rsid w:val="00F04C49"/>
    <w:rsid w:val="00F1475A"/>
    <w:rsid w:val="00F25569"/>
    <w:rsid w:val="00F25D98"/>
    <w:rsid w:val="00F300FB"/>
    <w:rsid w:val="00F33AC6"/>
    <w:rsid w:val="00F45650"/>
    <w:rsid w:val="00F50B8A"/>
    <w:rsid w:val="00F52361"/>
    <w:rsid w:val="00F71EFE"/>
    <w:rsid w:val="00F8534E"/>
    <w:rsid w:val="00FA3268"/>
    <w:rsid w:val="00FB6386"/>
    <w:rsid w:val="00FD4CF5"/>
    <w:rsid w:val="01D1166F"/>
    <w:rsid w:val="03C23B70"/>
    <w:rsid w:val="049B0477"/>
    <w:rsid w:val="05265F7F"/>
    <w:rsid w:val="060530CF"/>
    <w:rsid w:val="095F7B6B"/>
    <w:rsid w:val="0FE11E2F"/>
    <w:rsid w:val="100D2418"/>
    <w:rsid w:val="108128B6"/>
    <w:rsid w:val="11795505"/>
    <w:rsid w:val="16901BD3"/>
    <w:rsid w:val="18E156D4"/>
    <w:rsid w:val="1E3B6F37"/>
    <w:rsid w:val="1F8B48BF"/>
    <w:rsid w:val="23082FF3"/>
    <w:rsid w:val="23F021A2"/>
    <w:rsid w:val="2504350C"/>
    <w:rsid w:val="258305F0"/>
    <w:rsid w:val="278C3943"/>
    <w:rsid w:val="28D74209"/>
    <w:rsid w:val="29C7379B"/>
    <w:rsid w:val="2B132148"/>
    <w:rsid w:val="2C531A44"/>
    <w:rsid w:val="2CAE3862"/>
    <w:rsid w:val="2CD91AD9"/>
    <w:rsid w:val="2D144FBE"/>
    <w:rsid w:val="2D92105F"/>
    <w:rsid w:val="2D9846E7"/>
    <w:rsid w:val="30D15421"/>
    <w:rsid w:val="314E2AD2"/>
    <w:rsid w:val="34FB03FF"/>
    <w:rsid w:val="35802D75"/>
    <w:rsid w:val="359C71DD"/>
    <w:rsid w:val="35AC0DCE"/>
    <w:rsid w:val="35EC292D"/>
    <w:rsid w:val="36694929"/>
    <w:rsid w:val="36FE44E2"/>
    <w:rsid w:val="371252EA"/>
    <w:rsid w:val="3C174EA9"/>
    <w:rsid w:val="3D6B0E83"/>
    <w:rsid w:val="3F717620"/>
    <w:rsid w:val="3FE2657F"/>
    <w:rsid w:val="40073EE6"/>
    <w:rsid w:val="40AD6321"/>
    <w:rsid w:val="41D40883"/>
    <w:rsid w:val="46864F97"/>
    <w:rsid w:val="46EA10E7"/>
    <w:rsid w:val="483F208D"/>
    <w:rsid w:val="48D307E6"/>
    <w:rsid w:val="4A307DC1"/>
    <w:rsid w:val="4AF420C1"/>
    <w:rsid w:val="4D0A7980"/>
    <w:rsid w:val="50291C0C"/>
    <w:rsid w:val="52692E2B"/>
    <w:rsid w:val="557E3E9E"/>
    <w:rsid w:val="56E84D96"/>
    <w:rsid w:val="57BD6D53"/>
    <w:rsid w:val="5894466A"/>
    <w:rsid w:val="59690C95"/>
    <w:rsid w:val="5A721965"/>
    <w:rsid w:val="5BE32F8B"/>
    <w:rsid w:val="5CB37FC6"/>
    <w:rsid w:val="5D647E4D"/>
    <w:rsid w:val="5E1A42F3"/>
    <w:rsid w:val="61F7079D"/>
    <w:rsid w:val="631F6294"/>
    <w:rsid w:val="65CB1B40"/>
    <w:rsid w:val="684C17B2"/>
    <w:rsid w:val="69A235DB"/>
    <w:rsid w:val="69FF0B0D"/>
    <w:rsid w:val="6AD8022A"/>
    <w:rsid w:val="6C441E93"/>
    <w:rsid w:val="6CB8404C"/>
    <w:rsid w:val="6CE90F49"/>
    <w:rsid w:val="6DB8537A"/>
    <w:rsid w:val="6E791DCC"/>
    <w:rsid w:val="6F0F7AA0"/>
    <w:rsid w:val="6F5D4925"/>
    <w:rsid w:val="70D73DA8"/>
    <w:rsid w:val="717D7CCD"/>
    <w:rsid w:val="71F3248C"/>
    <w:rsid w:val="72181CD8"/>
    <w:rsid w:val="7560609B"/>
    <w:rsid w:val="75BF76E4"/>
    <w:rsid w:val="75E90518"/>
    <w:rsid w:val="77707001"/>
    <w:rsid w:val="793344C5"/>
    <w:rsid w:val="7A2D0481"/>
    <w:rsid w:val="7A2E20E9"/>
    <w:rsid w:val="7EF51F9F"/>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8"/>
    <w:qFormat/>
    <w:uiPriority w:val="0"/>
  </w:style>
  <w:style w:type="paragraph" w:styleId="32">
    <w:name w:val="Body Text 3"/>
    <w:basedOn w:val="1"/>
    <w:link w:val="123"/>
    <w:qFormat/>
    <w:uiPriority w:val="0"/>
    <w:pPr>
      <w:spacing w:after="0"/>
      <w:jc w:val="both"/>
    </w:pPr>
    <w:rPr>
      <w:rFonts w:eastAsia="MS Gothic"/>
      <w:sz w:val="24"/>
      <w:lang w:eastAsia="ja-JP"/>
    </w:rPr>
  </w:style>
  <w:style w:type="paragraph" w:styleId="33">
    <w:name w:val="Body Text"/>
    <w:basedOn w:val="1"/>
    <w:link w:val="124"/>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5"/>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6"/>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7"/>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8"/>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0"/>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1"/>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0"/>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1"/>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2"/>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39"/>
    <w:qFormat/>
    <w:uiPriority w:val="99"/>
    <w:rPr>
      <w:b/>
      <w:bCs/>
    </w:rPr>
  </w:style>
  <w:style w:type="paragraph" w:styleId="60">
    <w:name w:val="Body Text First Indent 2"/>
    <w:basedOn w:val="34"/>
    <w:link w:val="129"/>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206"/>
    <w:qFormat/>
    <w:uiPriority w:val="0"/>
    <w:rPr>
      <w:b/>
    </w:rPr>
  </w:style>
  <w:style w:type="paragraph" w:customStyle="1" w:styleId="88">
    <w:name w:val="TAC"/>
    <w:basedOn w:val="89"/>
    <w:link w:val="203"/>
    <w:qFormat/>
    <w:uiPriority w:val="0"/>
    <w:pPr>
      <w:jc w:val="center"/>
    </w:pPr>
  </w:style>
  <w:style w:type="paragraph" w:customStyle="1" w:styleId="89">
    <w:name w:val="TAL"/>
    <w:basedOn w:val="1"/>
    <w:link w:val="141"/>
    <w:qFormat/>
    <w:uiPriority w:val="0"/>
    <w:pPr>
      <w:keepNext/>
      <w:keepLines/>
      <w:spacing w:after="0"/>
    </w:pPr>
    <w:rPr>
      <w:rFonts w:ascii="Arial" w:hAnsi="Arial"/>
      <w:sz w:val="18"/>
    </w:rPr>
  </w:style>
  <w:style w:type="paragraph" w:customStyle="1" w:styleId="90">
    <w:name w:val="TF"/>
    <w:basedOn w:val="91"/>
    <w:link w:val="231"/>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NO"/>
    <w:basedOn w:val="1"/>
    <w:link w:val="287"/>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19"/>
    <w:qFormat/>
    <w:uiPriority w:val="0"/>
  </w:style>
  <w:style w:type="paragraph" w:customStyle="1" w:styleId="112">
    <w:name w:val="B2"/>
    <w:basedOn w:val="13"/>
    <w:link w:val="120"/>
    <w:qFormat/>
    <w:uiPriority w:val="0"/>
  </w:style>
  <w:style w:type="paragraph" w:customStyle="1" w:styleId="113">
    <w:name w:val="B3"/>
    <w:basedOn w:val="12"/>
    <w:link w:val="193"/>
    <w:qFormat/>
    <w:uiPriority w:val="0"/>
  </w:style>
  <w:style w:type="paragraph" w:customStyle="1" w:styleId="114">
    <w:name w:val="B4"/>
    <w:basedOn w:val="48"/>
    <w:qFormat/>
    <w:uiPriority w:val="99"/>
  </w:style>
  <w:style w:type="paragraph" w:customStyle="1" w:styleId="115">
    <w:name w:val="B5"/>
    <w:basedOn w:val="47"/>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B1 Zchn"/>
    <w:link w:val="111"/>
    <w:qFormat/>
    <w:uiPriority w:val="0"/>
    <w:rPr>
      <w:rFonts w:ascii="Times New Roman" w:hAnsi="Times New Roman"/>
      <w:lang w:val="en-GB" w:eastAsia="en-US"/>
    </w:rPr>
  </w:style>
  <w:style w:type="character" w:customStyle="1" w:styleId="120">
    <w:name w:val="B2 Char"/>
    <w:link w:val="112"/>
    <w:qFormat/>
    <w:uiPriority w:val="0"/>
    <w:rPr>
      <w:rFonts w:ascii="Times New Roman" w:hAnsi="Times New Roman"/>
      <w:lang w:val="en-GB" w:eastAsia="en-US"/>
    </w:rPr>
  </w:style>
  <w:style w:type="character" w:customStyle="1" w:styleId="121">
    <w:name w:val="页眉 Char"/>
    <w:link w:val="43"/>
    <w:qFormat/>
    <w:uiPriority w:val="0"/>
    <w:rPr>
      <w:rFonts w:ascii="Arial" w:hAnsi="Arial"/>
      <w:b/>
      <w:sz w:val="18"/>
      <w:lang w:val="en-GB" w:eastAsia="en-US"/>
    </w:rPr>
  </w:style>
  <w:style w:type="paragraph" w:customStyle="1" w:styleId="122">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3">
    <w:name w:val="正文文本 3 Char"/>
    <w:basedOn w:val="75"/>
    <w:link w:val="32"/>
    <w:qFormat/>
    <w:uiPriority w:val="0"/>
    <w:rPr>
      <w:rFonts w:ascii="Times New Roman" w:hAnsi="Times New Roman" w:eastAsia="MS Gothic"/>
      <w:sz w:val="24"/>
      <w:lang w:val="en-GB" w:eastAsia="ja-JP"/>
    </w:rPr>
  </w:style>
  <w:style w:type="character" w:customStyle="1" w:styleId="124">
    <w:name w:val="正文文本 Char"/>
    <w:basedOn w:val="75"/>
    <w:link w:val="33"/>
    <w:qFormat/>
    <w:uiPriority w:val="0"/>
    <w:rPr>
      <w:rFonts w:ascii="Times New Roman" w:hAnsi="Times New Roman" w:eastAsia="Times New Roman"/>
      <w:lang w:val="en-GB" w:eastAsia="en-GB"/>
    </w:rPr>
  </w:style>
  <w:style w:type="character" w:customStyle="1" w:styleId="125">
    <w:name w:val="正文文本缩进 Char"/>
    <w:basedOn w:val="75"/>
    <w:link w:val="34"/>
    <w:qFormat/>
    <w:uiPriority w:val="99"/>
    <w:rPr>
      <w:rFonts w:ascii="Times New Roman" w:hAnsi="Times New Roman"/>
      <w:lang w:val="en-US" w:eastAsia="zh-CN"/>
    </w:rPr>
  </w:style>
  <w:style w:type="character" w:customStyle="1" w:styleId="126">
    <w:name w:val="纯文本 Char"/>
    <w:basedOn w:val="75"/>
    <w:link w:val="36"/>
    <w:qFormat/>
    <w:uiPriority w:val="99"/>
    <w:rPr>
      <w:rFonts w:ascii="Courier New" w:hAnsi="Courier New" w:eastAsia="Times New Roman"/>
      <w:lang w:val="nb-NO" w:eastAsia="en-GB"/>
    </w:rPr>
  </w:style>
  <w:style w:type="character" w:customStyle="1" w:styleId="127">
    <w:name w:val="日期 Char"/>
    <w:basedOn w:val="75"/>
    <w:link w:val="39"/>
    <w:qFormat/>
    <w:uiPriority w:val="99"/>
    <w:rPr>
      <w:rFonts w:ascii="Times New Roman" w:hAnsi="Times New Roman" w:eastAsia="Times New Roman"/>
      <w:lang w:val="en-GB" w:eastAsia="en-GB"/>
    </w:rPr>
  </w:style>
  <w:style w:type="character" w:customStyle="1" w:styleId="128">
    <w:name w:val="正文文本缩进 2 Char"/>
    <w:basedOn w:val="75"/>
    <w:link w:val="40"/>
    <w:qFormat/>
    <w:uiPriority w:val="0"/>
    <w:rPr>
      <w:rFonts w:ascii="Times New Roman" w:hAnsi="Times New Roman" w:eastAsia="Times New Roman"/>
      <w:kern w:val="2"/>
      <w:lang w:val="zh-CN" w:eastAsia="zh-CN"/>
    </w:rPr>
  </w:style>
  <w:style w:type="character" w:customStyle="1" w:styleId="129">
    <w:name w:val="正文首行缩进 2 Char"/>
    <w:basedOn w:val="125"/>
    <w:link w:val="60"/>
    <w:qFormat/>
    <w:uiPriority w:val="0"/>
    <w:rPr>
      <w:rFonts w:ascii="Times New Roman" w:hAnsi="Times New Roman" w:eastAsia="MS Mincho"/>
      <w:lang w:val="en-GB" w:eastAsia="en-US"/>
    </w:rPr>
  </w:style>
  <w:style w:type="character" w:customStyle="1" w:styleId="130">
    <w:name w:val="副标题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1">
    <w:name w:val="正文文本缩进 3 Char"/>
    <w:basedOn w:val="75"/>
    <w:link w:val="49"/>
    <w:qFormat/>
    <w:uiPriority w:val="0"/>
    <w:rPr>
      <w:rFonts w:ascii="Times New Roman" w:hAnsi="Times New Roman" w:eastAsia="Times New Roman"/>
      <w:lang w:val="en-US" w:eastAsia="ja-JP"/>
    </w:rPr>
  </w:style>
  <w:style w:type="character" w:customStyle="1" w:styleId="132">
    <w:name w:val="正文文本 2 Char"/>
    <w:basedOn w:val="75"/>
    <w:link w:val="52"/>
    <w:qFormat/>
    <w:uiPriority w:val="0"/>
    <w:rPr>
      <w:rFonts w:ascii="Times New Roman" w:hAnsi="Times New Roman" w:eastAsia="Times New Roman"/>
      <w:kern w:val="2"/>
      <w:sz w:val="21"/>
      <w:lang w:val="zh-CN" w:eastAsia="zh-CN"/>
    </w:rPr>
  </w:style>
  <w:style w:type="character" w:customStyle="1" w:styleId="133">
    <w:name w:val="HTML 预设格式 Char"/>
    <w:basedOn w:val="75"/>
    <w:link w:val="54"/>
    <w:qFormat/>
    <w:uiPriority w:val="0"/>
    <w:rPr>
      <w:rFonts w:ascii="Courier New" w:hAnsi="Courier New" w:eastAsia="Batang" w:cs="Courier New"/>
      <w:lang w:val="en-US" w:eastAsia="ko-KR"/>
    </w:rPr>
  </w:style>
  <w:style w:type="character" w:customStyle="1" w:styleId="134">
    <w:name w:val="Title Char"/>
    <w:basedOn w:val="75"/>
    <w:qFormat/>
    <w:uiPriority w:val="10"/>
    <w:rPr>
      <w:rFonts w:eastAsia="宋体" w:asciiTheme="majorHAnsi" w:hAnsiTheme="majorHAnsi" w:cstheme="majorBidi"/>
      <w:b/>
      <w:bCs/>
      <w:sz w:val="32"/>
      <w:szCs w:val="32"/>
      <w:lang w:val="en-GB" w:eastAsia="en-US"/>
    </w:rPr>
  </w:style>
  <w:style w:type="paragraph" w:customStyle="1" w:styleId="135">
    <w:name w:val="TAJ"/>
    <w:basedOn w:val="91"/>
    <w:qFormat/>
    <w:uiPriority w:val="0"/>
    <w:rPr>
      <w:rFonts w:eastAsia="Times New Roman"/>
    </w:rPr>
  </w:style>
  <w:style w:type="paragraph" w:customStyle="1" w:styleId="136">
    <w:name w:val="Guidance"/>
    <w:basedOn w:val="1"/>
    <w:qFormat/>
    <w:uiPriority w:val="0"/>
    <w:rPr>
      <w:rFonts w:eastAsia="Times New Roman"/>
      <w:i/>
      <w:color w:val="0000FF"/>
    </w:rPr>
  </w:style>
  <w:style w:type="character" w:customStyle="1" w:styleId="137">
    <w:name w:val="B2 Car"/>
    <w:qFormat/>
    <w:uiPriority w:val="0"/>
    <w:rPr>
      <w:lang w:val="en-GB" w:eastAsia="en-US"/>
    </w:rPr>
  </w:style>
  <w:style w:type="character" w:customStyle="1" w:styleId="138">
    <w:name w:val="批注文字 Char"/>
    <w:link w:val="31"/>
    <w:qFormat/>
    <w:uiPriority w:val="99"/>
    <w:rPr>
      <w:rFonts w:ascii="Times New Roman" w:hAnsi="Times New Roman"/>
      <w:lang w:val="en-GB" w:eastAsia="en-US"/>
    </w:rPr>
  </w:style>
  <w:style w:type="character" w:customStyle="1" w:styleId="139">
    <w:name w:val="批注主题 Char"/>
    <w:link w:val="59"/>
    <w:qFormat/>
    <w:uiPriority w:val="99"/>
    <w:rPr>
      <w:rFonts w:ascii="Times New Roman" w:hAnsi="Times New Roman"/>
      <w:b/>
      <w:bCs/>
      <w:lang w:val="en-GB" w:eastAsia="en-US"/>
    </w:rPr>
  </w:style>
  <w:style w:type="character" w:customStyle="1" w:styleId="140">
    <w:name w:val="批注框文本 Char"/>
    <w:link w:val="41"/>
    <w:qFormat/>
    <w:uiPriority w:val="99"/>
    <w:rPr>
      <w:rFonts w:ascii="Tahoma" w:hAnsi="Tahoma" w:cs="Tahoma"/>
      <w:sz w:val="16"/>
      <w:szCs w:val="16"/>
      <w:lang w:val="en-GB" w:eastAsia="en-US"/>
    </w:rPr>
  </w:style>
  <w:style w:type="character" w:customStyle="1" w:styleId="141">
    <w:name w:val="TAL Char"/>
    <w:link w:val="89"/>
    <w:qFormat/>
    <w:uiPriority w:val="0"/>
    <w:rPr>
      <w:rFonts w:ascii="Arial" w:hAnsi="Arial"/>
      <w:sz w:val="18"/>
      <w:lang w:val="en-GB" w:eastAsia="en-US"/>
    </w:rPr>
  </w:style>
  <w:style w:type="character" w:customStyle="1" w:styleId="142">
    <w:name w:val="脚注文本 Char"/>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1"/>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文档结构图 Char"/>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3"/>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标题 3 Char"/>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标题 1 Char"/>
    <w:link w:val="2"/>
    <w:qFormat/>
    <w:uiPriority w:val="99"/>
    <w:rPr>
      <w:rFonts w:ascii="Arial" w:hAnsi="Arial"/>
      <w:sz w:val="36"/>
      <w:lang w:val="en-GB" w:eastAsia="en-US"/>
    </w:rPr>
  </w:style>
  <w:style w:type="character" w:customStyle="1" w:styleId="182">
    <w:name w:val="标题 2 Char"/>
    <w:link w:val="3"/>
    <w:qFormat/>
    <w:uiPriority w:val="0"/>
    <w:rPr>
      <w:rFonts w:ascii="Arial" w:hAnsi="Arial"/>
      <w:sz w:val="32"/>
      <w:lang w:val="en-GB" w:eastAsia="en-US"/>
    </w:rPr>
  </w:style>
  <w:style w:type="character" w:customStyle="1" w:styleId="183">
    <w:name w:val="标题 4 Char"/>
    <w:link w:val="5"/>
    <w:qFormat/>
    <w:uiPriority w:val="0"/>
    <w:rPr>
      <w:rFonts w:ascii="Arial" w:hAnsi="Arial"/>
      <w:sz w:val="24"/>
      <w:lang w:val="en-GB" w:eastAsia="en-US"/>
    </w:rPr>
  </w:style>
  <w:style w:type="character" w:customStyle="1" w:styleId="184">
    <w:name w:val="标题 5 Char"/>
    <w:link w:val="6"/>
    <w:qFormat/>
    <w:uiPriority w:val="0"/>
    <w:rPr>
      <w:rFonts w:ascii="Arial" w:hAnsi="Arial"/>
      <w:sz w:val="22"/>
      <w:lang w:val="en-GB" w:eastAsia="en-US"/>
    </w:rPr>
  </w:style>
  <w:style w:type="character" w:customStyle="1" w:styleId="185">
    <w:name w:val="标题 6 Char"/>
    <w:link w:val="7"/>
    <w:qFormat/>
    <w:uiPriority w:val="9"/>
    <w:rPr>
      <w:rFonts w:ascii="Arial" w:hAnsi="Arial"/>
      <w:lang w:val="en-GB" w:eastAsia="en-US"/>
    </w:rPr>
  </w:style>
  <w:style w:type="character" w:customStyle="1" w:styleId="186">
    <w:name w:val="标题 7 Char"/>
    <w:link w:val="9"/>
    <w:qFormat/>
    <w:uiPriority w:val="9"/>
    <w:rPr>
      <w:rFonts w:ascii="Arial" w:hAnsi="Arial"/>
      <w:lang w:val="en-GB" w:eastAsia="en-US"/>
    </w:rPr>
  </w:style>
  <w:style w:type="character" w:customStyle="1" w:styleId="187">
    <w:name w:val="标题 8 Char"/>
    <w:link w:val="10"/>
    <w:qFormat/>
    <w:uiPriority w:val="9"/>
    <w:rPr>
      <w:rFonts w:ascii="Arial" w:hAnsi="Arial"/>
      <w:sz w:val="36"/>
      <w:lang w:val="en-GB" w:eastAsia="en-US"/>
    </w:rPr>
  </w:style>
  <w:style w:type="character" w:customStyle="1" w:styleId="188">
    <w:name w:val="标题 9 Char"/>
    <w:link w:val="11"/>
    <w:qFormat/>
    <w:uiPriority w:val="9"/>
    <w:rPr>
      <w:rFonts w:ascii="Arial" w:hAnsi="Arial"/>
      <w:sz w:val="36"/>
      <w:lang w:val="en-GB" w:eastAsia="en-US"/>
    </w:rPr>
  </w:style>
  <w:style w:type="character" w:customStyle="1" w:styleId="189">
    <w:name w:val="列表 Char"/>
    <w:link w:val="14"/>
    <w:qFormat/>
    <w:uiPriority w:val="0"/>
    <w:rPr>
      <w:rFonts w:ascii="Times New Roman" w:hAnsi="Times New Roman"/>
      <w:lang w:val="en-GB" w:eastAsia="en-US"/>
    </w:rPr>
  </w:style>
  <w:style w:type="character" w:customStyle="1" w:styleId="190">
    <w:name w:val="PL Char"/>
    <w:link w:val="100"/>
    <w:qFormat/>
    <w:locked/>
    <w:uiPriority w:val="0"/>
    <w:rPr>
      <w:rFonts w:ascii="Courier New" w:hAnsi="Courier New"/>
      <w:sz w:val="16"/>
      <w:lang w:val="en-GB" w:eastAsia="en-US"/>
    </w:rPr>
  </w:style>
  <w:style w:type="character" w:customStyle="1" w:styleId="191">
    <w:name w:val="列表 2 Char"/>
    <w:link w:val="13"/>
    <w:qFormat/>
    <w:uiPriority w:val="0"/>
    <w:rPr>
      <w:rFonts w:ascii="Times New Roman" w:hAnsi="Times New Roman"/>
      <w:lang w:val="en-GB" w:eastAsia="en-US"/>
    </w:rPr>
  </w:style>
  <w:style w:type="character" w:customStyle="1" w:styleId="192">
    <w:name w:val="列表 3 Char"/>
    <w:link w:val="12"/>
    <w:qFormat/>
    <w:uiPriority w:val="0"/>
    <w:rPr>
      <w:rFonts w:ascii="Times New Roman" w:hAnsi="Times New Roman"/>
      <w:lang w:val="en-GB" w:eastAsia="en-US"/>
    </w:rPr>
  </w:style>
  <w:style w:type="character" w:customStyle="1" w:styleId="193">
    <w:name w:val="B3 Char"/>
    <w:link w:val="113"/>
    <w:qFormat/>
    <w:uiPriority w:val="0"/>
    <w:rPr>
      <w:rFonts w:ascii="Times New Roman" w:hAnsi="Times New Roman"/>
      <w:lang w:val="en-GB" w:eastAsia="en-US"/>
    </w:rPr>
  </w:style>
  <w:style w:type="character" w:customStyle="1" w:styleId="194">
    <w:name w:val="页脚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8"/>
    <w:qFormat/>
    <w:locked/>
    <w:uiPriority w:val="0"/>
    <w:rPr>
      <w:rFonts w:ascii="Arial" w:hAnsi="Arial"/>
      <w:sz w:val="18"/>
      <w:lang w:val="en-GB" w:eastAsia="en-US"/>
    </w:rPr>
  </w:style>
  <w:style w:type="paragraph" w:customStyle="1" w:styleId="204">
    <w:name w:val="Table Cell"/>
    <w:basedOn w:val="88"/>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7"/>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列出段落 Char"/>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0"/>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题注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标题 Char"/>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2"/>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D7D3A-843F-4BE8-921C-AA2F66ADEA9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978</Words>
  <Characters>5576</Characters>
  <Lines>46</Lines>
  <Paragraphs>13</Paragraphs>
  <TotalTime>8</TotalTime>
  <ScaleCrop>false</ScaleCrop>
  <LinksUpToDate>false</LinksUpToDate>
  <CharactersWithSpaces>6541</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2020-02-13T07:01:00Z</dcterms:created>
  <dc:creator>Michael Sanders, John M Meredith</dc:creator>
  <cp:lastModifiedBy>ZTE-Shuaihua</cp:lastModifiedBy>
  <cp:lastPrinted>2411-12-31T15:59:00Z</cp:lastPrinted>
  <dcterms:modified xsi:type="dcterms:W3CDTF">2022-08-11T01:02:55Z</dcterms:modified>
  <dc:title>MTG_TITLE</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2052-11.8.2.11019</vt:lpwstr>
  </property>
  <property fmtid="{D5CDD505-2E9C-101B-9397-08002B2CF9AE}" pid="22" name="ICV">
    <vt:lpwstr>868A72B79E8647E7A62905CF3ECF08E4</vt:lpwstr>
  </property>
</Properties>
</file>